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6AA8" w:rsidRDefault="004612B9">
      <w:pPr>
        <w:jc w:val="center"/>
      </w:pPr>
      <w:r>
        <w:rPr>
          <w:noProof/>
          <w:lang w:eastAsia="ru-RU" w:bidi="ar-SA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AA8" w:rsidRDefault="001E6863" w:rsidP="00DB07D6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6.7pt;margin-top:106.5pt;width:453.05pt;height:126.55pt;z-index:251657728;mso-wrap-distance-left:0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9072" w:type="dxa"/>
                    <w:tblInd w:w="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40"/>
                    <w:gridCol w:w="528"/>
                    <w:gridCol w:w="1802"/>
                    <w:gridCol w:w="275"/>
                    <w:gridCol w:w="1686"/>
                    <w:gridCol w:w="2441"/>
                  </w:tblGrid>
                  <w:tr w:rsidR="00C06AA8" w:rsidTr="00DB07D6">
                    <w:trPr>
                      <w:trHeight w:hRule="exact" w:val="1686"/>
                    </w:trPr>
                    <w:tc>
                      <w:tcPr>
                        <w:tcW w:w="9072" w:type="dxa"/>
                        <w:gridSpan w:val="6"/>
                      </w:tcPr>
                      <w:p w:rsidR="00C06AA8" w:rsidRPr="00DB07D6" w:rsidRDefault="00C06AA8">
                        <w:pPr>
                          <w:pStyle w:val="10"/>
                          <w:tabs>
                            <w:tab w:val="left" w:pos="2765"/>
                          </w:tabs>
                          <w:snapToGrid w:val="0"/>
                          <w:spacing w:before="360"/>
                          <w:ind w:right="0"/>
                          <w:rPr>
                            <w:sz w:val="24"/>
                          </w:rPr>
                        </w:pPr>
                        <w:r w:rsidRPr="00DB07D6">
                          <w:rPr>
                            <w:sz w:val="24"/>
                          </w:rPr>
                          <w:t>ТУЖИНСКАЯ РАЙОННАЯ ДУМА КИРОВСКОЙ ОБЛАСТИ</w:t>
                        </w:r>
                      </w:p>
                      <w:p w:rsidR="00C06AA8" w:rsidRPr="00DB07D6" w:rsidRDefault="00C06AA8">
                        <w:pPr>
                          <w:pStyle w:val="1"/>
                          <w:spacing w:before="240"/>
                        </w:pPr>
                        <w:r w:rsidRPr="00DB07D6">
                          <w:t>РЕШЕНИЕ</w:t>
                        </w:r>
                      </w:p>
                    </w:tc>
                  </w:tr>
                  <w:tr w:rsidR="00C06AA8" w:rsidTr="00DB07D6">
                    <w:tc>
                      <w:tcPr>
                        <w:tcW w:w="2340" w:type="dxa"/>
                      </w:tcPr>
                      <w:p w:rsidR="00C06AA8" w:rsidRDefault="00C06AA8">
                        <w:pPr>
                          <w:snapToGrid w:val="0"/>
                        </w:pPr>
                      </w:p>
                    </w:tc>
                    <w:tc>
                      <w:tcPr>
                        <w:tcW w:w="528" w:type="dxa"/>
                      </w:tcPr>
                      <w:p w:rsidR="00C06AA8" w:rsidRPr="00DB07D6" w:rsidRDefault="00C06AA8">
                        <w:pPr>
                          <w:tabs>
                            <w:tab w:val="left" w:pos="2765"/>
                          </w:tabs>
                          <w:snapToGrid w:val="0"/>
                          <w:rPr>
                            <w:position w:val="-2"/>
                          </w:rPr>
                        </w:pPr>
                        <w:r w:rsidRPr="00DB07D6">
                          <w:rPr>
                            <w:position w:val="-2"/>
                          </w:rPr>
                          <w:t>от</w:t>
                        </w:r>
                      </w:p>
                    </w:tc>
                    <w:tc>
                      <w:tcPr>
                        <w:tcW w:w="1802" w:type="dxa"/>
                        <w:tcBorders>
                          <w:bottom w:val="single" w:sz="4" w:space="0" w:color="000000"/>
                        </w:tcBorders>
                      </w:tcPr>
                      <w:p w:rsidR="00C06AA8" w:rsidRPr="00DB07D6" w:rsidRDefault="00DB07D6">
                        <w:pPr>
                          <w:snapToGrid w:val="0"/>
                          <w:jc w:val="center"/>
                        </w:pPr>
                        <w:r>
                          <w:t>25.10.2012</w:t>
                        </w:r>
                      </w:p>
                    </w:tc>
                    <w:tc>
                      <w:tcPr>
                        <w:tcW w:w="275" w:type="dxa"/>
                      </w:tcPr>
                      <w:p w:rsidR="00C06AA8" w:rsidRDefault="00C06AA8">
                        <w:pPr>
                          <w:snapToGrid w:val="0"/>
                          <w:rPr>
                            <w:position w:val="-2"/>
                            <w:sz w:val="28"/>
                            <w:szCs w:val="28"/>
                          </w:rPr>
                        </w:pPr>
                        <w:r>
                          <w:rPr>
                            <w:position w:val="-2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686" w:type="dxa"/>
                        <w:tcBorders>
                          <w:bottom w:val="single" w:sz="4" w:space="0" w:color="000000"/>
                        </w:tcBorders>
                      </w:tcPr>
                      <w:p w:rsidR="00C06AA8" w:rsidRDefault="00DB07D6" w:rsidP="00DB07D6">
                        <w:pPr>
                          <w:snapToGrid w:val="0"/>
                        </w:pPr>
                        <w:r>
                          <w:t xml:space="preserve">    21/151</w:t>
                        </w:r>
                      </w:p>
                    </w:tc>
                    <w:tc>
                      <w:tcPr>
                        <w:tcW w:w="2441" w:type="dxa"/>
                      </w:tcPr>
                      <w:p w:rsidR="00C06AA8" w:rsidRDefault="00C06AA8">
                        <w:pPr>
                          <w:snapToGrid w:val="0"/>
                        </w:pPr>
                      </w:p>
                    </w:tc>
                  </w:tr>
                  <w:tr w:rsidR="00C06AA8" w:rsidTr="00DB07D6">
                    <w:tc>
                      <w:tcPr>
                        <w:tcW w:w="2340" w:type="dxa"/>
                      </w:tcPr>
                      <w:p w:rsidR="00C06AA8" w:rsidRDefault="00C06AA8">
                        <w:pPr>
                          <w:pStyle w:val="af"/>
                          <w:snapToGrid w:val="0"/>
                        </w:pPr>
                      </w:p>
                    </w:tc>
                    <w:tc>
                      <w:tcPr>
                        <w:tcW w:w="4291" w:type="dxa"/>
                        <w:gridSpan w:val="4"/>
                      </w:tcPr>
                      <w:p w:rsidR="00C06AA8" w:rsidRDefault="00C06AA8">
                        <w:pPr>
                          <w:tabs>
                            <w:tab w:val="left" w:pos="2765"/>
                          </w:tabs>
                          <w:snapToGrid w:val="0"/>
                          <w:jc w:val="center"/>
                        </w:pPr>
                        <w:r>
                          <w:t>пгт Тужа</w:t>
                        </w:r>
                      </w:p>
                      <w:p w:rsidR="00C06AA8" w:rsidRDefault="00C06AA8">
                        <w:pPr>
                          <w:tabs>
                            <w:tab w:val="left" w:pos="2765"/>
                          </w:tabs>
                          <w:jc w:val="center"/>
                        </w:pPr>
                        <w:r>
                          <w:t xml:space="preserve">Кировской области </w:t>
                        </w:r>
                      </w:p>
                    </w:tc>
                    <w:tc>
                      <w:tcPr>
                        <w:tcW w:w="2441" w:type="dxa"/>
                      </w:tcPr>
                      <w:p w:rsidR="00C06AA8" w:rsidRDefault="00C06AA8">
                        <w:pPr>
                          <w:snapToGrid w:val="0"/>
                        </w:pPr>
                      </w:p>
                    </w:tc>
                  </w:tr>
                </w:tbl>
                <w:p w:rsidR="00C06AA8" w:rsidRDefault="00C06AA8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</w:p>
    <w:p w:rsidR="00C06AA8" w:rsidRDefault="00C06AA8" w:rsidP="00DB07D6">
      <w:pPr>
        <w:rPr>
          <w:b/>
        </w:rPr>
      </w:pPr>
    </w:p>
    <w:p w:rsidR="00DB07D6" w:rsidRDefault="00DB07D6" w:rsidP="00DB07D6">
      <w:pPr>
        <w:rPr>
          <w:b/>
        </w:rPr>
      </w:pPr>
    </w:p>
    <w:p w:rsidR="00DB07D6" w:rsidRDefault="00DB07D6" w:rsidP="00DB07D6">
      <w:pPr>
        <w:rPr>
          <w:b/>
        </w:rPr>
      </w:pPr>
    </w:p>
    <w:p w:rsidR="001E6863" w:rsidRDefault="001E6863">
      <w:pPr>
        <w:jc w:val="center"/>
        <w:rPr>
          <w:b/>
        </w:rPr>
      </w:pPr>
    </w:p>
    <w:p w:rsidR="00C06AA8" w:rsidRDefault="00C06AA8">
      <w:pPr>
        <w:jc w:val="center"/>
        <w:rPr>
          <w:b/>
        </w:rPr>
      </w:pPr>
      <w:r>
        <w:rPr>
          <w:b/>
        </w:rPr>
        <w:t>О внесении изменений в Устав муниципального образования Тужинский муниципальный район</w:t>
      </w:r>
    </w:p>
    <w:p w:rsidR="00C06AA8" w:rsidRDefault="00C06AA8">
      <w:pPr>
        <w:jc w:val="center"/>
        <w:rPr>
          <w:b/>
        </w:rPr>
      </w:pPr>
    </w:p>
    <w:p w:rsidR="00C06AA8" w:rsidRDefault="00C06AA8">
      <w:pPr>
        <w:jc w:val="both"/>
      </w:pPr>
      <w:r>
        <w:rPr>
          <w:b/>
        </w:rPr>
        <w:tab/>
      </w:r>
      <w:r>
        <w:t>В соответствии со статьями 35. 44 Федерального закона от 06.10.2003 № 131-ФЗ «Об общих принципах организации местного самоуправления в Российской Федерации», на основании статьи 21 Устава Тужинского района районная Дума РЕШИЛА:</w:t>
      </w:r>
    </w:p>
    <w:p w:rsidR="00C06AA8" w:rsidRDefault="00C06AA8">
      <w:pPr>
        <w:jc w:val="both"/>
      </w:pPr>
    </w:p>
    <w:p w:rsidR="00C06AA8" w:rsidRDefault="00C06AA8">
      <w:pPr>
        <w:jc w:val="both"/>
      </w:pPr>
      <w:r>
        <w:tab/>
        <w:t>1. Внести в Устав муниципального образования Тужинский муниципальный район, принятый решением Тужинской районной Думы от 27.06.2005 № 23/257 (с изменениями от 09.08.2005 № 25/279, от 26.03.2007 № 15/142, от 23.11.2007 № 20/180, от 25.01.2008 № 24/207, от 10.11.2008 № 34/270, от 28.01.2009 № 38/303, от 28.01.2009 № 38/304, от 24.07.2009 № 42/347, от 23.12.2009 № 49/389, от 24.03.2010 № 52/412, от 18.06.2010 № 54/449, от 19.11.2010 № 60/488, от 28.11.2012 №12/68, от 06.04.2012 № 16/107) (далее – Устав), следующие изменения:</w:t>
      </w:r>
    </w:p>
    <w:p w:rsidR="00C06AA8" w:rsidRDefault="00C06AA8">
      <w:pPr>
        <w:numPr>
          <w:ilvl w:val="1"/>
          <w:numId w:val="3"/>
        </w:numPr>
        <w:jc w:val="both"/>
      </w:pPr>
      <w:r>
        <w:t>Предложение второе части 3 статьи 7 Устава изложить в следующей редакции:</w:t>
      </w:r>
    </w:p>
    <w:p w:rsidR="00C06AA8" w:rsidRDefault="00C06AA8">
      <w:pPr>
        <w:pStyle w:val="ConsPlusDoc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«Официальным опубликованием (обнародованием) муниципального правового акта считается первая публикация его полного текста в районной газете или печатном средстве массовой информации, учреждаемым решением районной Думы.».</w:t>
      </w:r>
    </w:p>
    <w:p w:rsidR="00C06AA8" w:rsidRDefault="00C06AA8">
      <w:pPr>
        <w:jc w:val="both"/>
      </w:pPr>
      <w:r>
        <w:tab/>
        <w:t>1.2. Пункт 4 части 1 статьи 8 Устава дополнить словами «в пределах полномочий, установленных законодательством Российской Федерации».</w:t>
      </w:r>
    </w:p>
    <w:p w:rsidR="00C06AA8" w:rsidRDefault="00C06AA8">
      <w:pPr>
        <w:jc w:val="both"/>
      </w:pPr>
      <w:r>
        <w:tab/>
        <w:t>1.3. Дополнить часть 1 статьи 8.1 Устава пунктами 9-10 следующего содержания:</w:t>
      </w:r>
    </w:p>
    <w:p w:rsidR="00C06AA8" w:rsidRDefault="00C06AA8">
      <w:pPr>
        <w:pStyle w:val="ConsPlusCell"/>
        <w:jc w:val="both"/>
        <w:rPr>
          <w:rFonts w:ascii="Times New Roman" w:hAnsi="Times New Roman"/>
          <w:sz w:val="24"/>
          <w:szCs w:val="24"/>
        </w:rPr>
      </w:pPr>
      <w:r>
        <w:rPr>
          <w:rFonts w:ascii="Courier New" w:eastAsia="Courier New" w:hAnsi="Courier New" w:cs="Courier New"/>
        </w:rPr>
        <w:tab/>
        <w:t>«</w:t>
      </w:r>
      <w:r>
        <w:rPr>
          <w:rFonts w:ascii="Times New Roman" w:eastAsia="Courier New" w:hAnsi="Times New Roman" w:cs="Courier New"/>
          <w:sz w:val="24"/>
          <w:szCs w:val="24"/>
        </w:rPr>
        <w:t xml:space="preserve">9) </w:t>
      </w:r>
      <w:r>
        <w:rPr>
          <w:rFonts w:ascii="Times New Roman" w:hAnsi="Times New Roman"/>
          <w:sz w:val="24"/>
          <w:szCs w:val="24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>
        <w:rPr>
          <w:rFonts w:ascii="Times New Roman" w:hAnsi="Times New Roman"/>
          <w:color w:val="0000FF"/>
          <w:sz w:val="24"/>
          <w:szCs w:val="24"/>
        </w:rPr>
        <w:t>законом</w:t>
      </w:r>
      <w:r>
        <w:rPr>
          <w:rFonts w:ascii="Times New Roman" w:hAnsi="Times New Roman"/>
          <w:sz w:val="24"/>
          <w:szCs w:val="24"/>
        </w:rPr>
        <w:t xml:space="preserve"> от 24 ноября 1995 года N 181-ФЗ "О социальной защите инвалидов в Российской Федерации";</w:t>
      </w:r>
    </w:p>
    <w:p w:rsidR="00C06AA8" w:rsidRDefault="00C06AA8">
      <w:pPr>
        <w:pStyle w:val="ConsPlusCell"/>
        <w:jc w:val="both"/>
        <w:rPr>
          <w:rFonts w:ascii="Times New Roman" w:eastAsia="Courier New" w:hAnsi="Times New Roman" w:cs="Courier New"/>
          <w:sz w:val="24"/>
          <w:szCs w:val="24"/>
        </w:rPr>
      </w:pPr>
      <w:r>
        <w:rPr>
          <w:rFonts w:ascii="Times New Roman" w:eastAsia="Courier New" w:hAnsi="Times New Roman" w:cs="Courier New"/>
          <w:sz w:val="24"/>
          <w:szCs w:val="24"/>
        </w:rPr>
        <w:tab/>
        <w:t>10) осуществление мероприятий, предусмотренных Федеральным законом  «О донорстве крови и ее компонентов».</w:t>
      </w:r>
    </w:p>
    <w:p w:rsidR="00C06AA8" w:rsidRDefault="00C06AA8">
      <w:pPr>
        <w:numPr>
          <w:ilvl w:val="1"/>
          <w:numId w:val="5"/>
        </w:numPr>
        <w:rPr>
          <w:rFonts w:eastAsia="Courier New" w:cs="Courier New"/>
        </w:rPr>
      </w:pPr>
      <w:r>
        <w:rPr>
          <w:rFonts w:eastAsia="Courier New" w:cs="Courier New"/>
        </w:rPr>
        <w:t>В статье 21 Устава:</w:t>
      </w:r>
    </w:p>
    <w:p w:rsidR="00C06AA8" w:rsidRDefault="00C06AA8">
      <w:pPr>
        <w:ind w:firstLine="709"/>
        <w:rPr>
          <w:rFonts w:eastAsia="Courier New" w:cs="Courier New"/>
        </w:rPr>
      </w:pPr>
      <w:r>
        <w:rPr>
          <w:rFonts w:eastAsia="Courier New" w:cs="Courier New"/>
        </w:rPr>
        <w:t>а) пункт 6 части 1 дополнить словами «, выполнение работ, за исключением случаев, предусмотренных федеральными законами»;</w:t>
      </w:r>
    </w:p>
    <w:p w:rsidR="00C06AA8" w:rsidRDefault="00C06AA8">
      <w:pPr>
        <w:ind w:firstLine="709"/>
        <w:rPr>
          <w:rFonts w:eastAsia="Courier New" w:cs="Courier New"/>
        </w:rPr>
      </w:pPr>
      <w:r>
        <w:rPr>
          <w:rFonts w:eastAsia="Courier New" w:cs="Courier New"/>
        </w:rPr>
        <w:t>б) пункты 22, 23, 24 части 2 — исключить.</w:t>
      </w:r>
    </w:p>
    <w:p w:rsidR="00C06AA8" w:rsidRDefault="00C06AA8">
      <w:pPr>
        <w:pStyle w:val="ConsPlusCell"/>
        <w:rPr>
          <w:rFonts w:ascii="Times New Roman" w:hAnsi="Times New Roman"/>
          <w:sz w:val="24"/>
          <w:szCs w:val="24"/>
        </w:rPr>
      </w:pPr>
      <w:r>
        <w:rPr>
          <w:rFonts w:ascii="Times New Roman" w:eastAsia="Courier New" w:hAnsi="Times New Roman" w:cs="Courier New"/>
          <w:sz w:val="24"/>
          <w:szCs w:val="24"/>
        </w:rPr>
        <w:tab/>
        <w:t xml:space="preserve">1.5. </w:t>
      </w:r>
      <w:r>
        <w:rPr>
          <w:rFonts w:ascii="Times New Roman" w:hAnsi="Times New Roman"/>
          <w:sz w:val="24"/>
          <w:szCs w:val="24"/>
        </w:rPr>
        <w:t>В статье 28 Устава:</w:t>
      </w:r>
    </w:p>
    <w:p w:rsidR="00C06AA8" w:rsidRDefault="00C06AA8">
      <w:pPr>
        <w:jc w:val="both"/>
      </w:pPr>
      <w:r>
        <w:tab/>
        <w:t>а) часть 10 изложить в следующей редакции:</w:t>
      </w:r>
    </w:p>
    <w:p w:rsidR="00C06AA8" w:rsidRDefault="00C06AA8">
      <w:pPr>
        <w:jc w:val="both"/>
      </w:pPr>
      <w:r>
        <w:tab/>
        <w:t>«10. Гарантии осуществления полномочий главы района определяются Положением, утверждаемым решением районной Думы, в соответствии с федеральным и областным законодательством.»;</w:t>
      </w:r>
    </w:p>
    <w:p w:rsidR="00C06AA8" w:rsidRDefault="00C06AA8">
      <w:pPr>
        <w:jc w:val="both"/>
      </w:pPr>
      <w:r>
        <w:tab/>
        <w:t>б) часть 10.1 -исключить.</w:t>
      </w:r>
    </w:p>
    <w:p w:rsidR="00C06AA8" w:rsidRDefault="00C06AA8">
      <w:pPr>
        <w:numPr>
          <w:ilvl w:val="1"/>
          <w:numId w:val="4"/>
        </w:numPr>
        <w:jc w:val="both"/>
      </w:pPr>
      <w:r>
        <w:t>В части 5 статьи 32 Устава:</w:t>
      </w:r>
    </w:p>
    <w:p w:rsidR="00C06AA8" w:rsidRDefault="00C06AA8">
      <w:pPr>
        <w:jc w:val="both"/>
      </w:pPr>
      <w:r>
        <w:lastRenderedPageBreak/>
        <w:tab/>
        <w:t>а) пункт 6 дополнить словами «в пределах полномочий, установленных законодательством Российской Федерации»;</w:t>
      </w:r>
    </w:p>
    <w:p w:rsidR="00C06AA8" w:rsidRDefault="00C06AA8">
      <w:pPr>
        <w:ind w:firstLine="709"/>
        <w:jc w:val="both"/>
      </w:pPr>
      <w:r>
        <w:t>б) пункт 48 считать пунктом 50;</w:t>
      </w:r>
    </w:p>
    <w:p w:rsidR="00C06AA8" w:rsidRDefault="00C06AA8">
      <w:pPr>
        <w:ind w:firstLine="709"/>
        <w:jc w:val="both"/>
      </w:pPr>
      <w:r>
        <w:t>в)дополнить пунктами 48 — 49 следующего содержания:</w:t>
      </w:r>
    </w:p>
    <w:p w:rsidR="00C06AA8" w:rsidRDefault="00C06AA8">
      <w:pPr>
        <w:ind w:firstLine="709"/>
        <w:jc w:val="both"/>
        <w:rPr>
          <w:rFonts w:eastAsia="Arial" w:cs="Arial"/>
        </w:rPr>
      </w:pPr>
      <w:r>
        <w:rPr>
          <w:rFonts w:eastAsia="Courier New" w:cs="Courier New"/>
        </w:rPr>
        <w:t xml:space="preserve">«48) </w:t>
      </w:r>
      <w:r>
        <w:rPr>
          <w:rFonts w:eastAsia="Arial" w:cs="Arial"/>
        </w:rPr>
        <w:t xml:space="preserve">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</w:t>
      </w:r>
      <w:r>
        <w:rPr>
          <w:rFonts w:eastAsia="Arial" w:cs="Arial"/>
          <w:color w:val="0000FF"/>
        </w:rPr>
        <w:t>законом</w:t>
      </w:r>
      <w:r>
        <w:rPr>
          <w:rFonts w:eastAsia="Arial" w:cs="Arial"/>
        </w:rPr>
        <w:t xml:space="preserve"> от 24 ноября 1995 года N 181-ФЗ "О социальной защите инвалидов в Российской Федерации";</w:t>
      </w:r>
    </w:p>
    <w:p w:rsidR="00C06AA8" w:rsidRDefault="00C06AA8">
      <w:pPr>
        <w:ind w:firstLine="709"/>
        <w:jc w:val="both"/>
        <w:rPr>
          <w:rFonts w:eastAsia="Courier New" w:cs="Courier New"/>
        </w:rPr>
      </w:pPr>
      <w:r>
        <w:t xml:space="preserve">«49) </w:t>
      </w:r>
      <w:r>
        <w:rPr>
          <w:rFonts w:eastAsia="Courier New" w:cs="Courier New"/>
        </w:rPr>
        <w:t>осуществление мероприятий, предусмотренных Федеральным законом  «О</w:t>
      </w:r>
    </w:p>
    <w:p w:rsidR="00C06AA8" w:rsidRDefault="00C06AA8">
      <w:pPr>
        <w:jc w:val="both"/>
        <w:rPr>
          <w:rFonts w:eastAsia="Courier New" w:cs="Courier New"/>
        </w:rPr>
      </w:pPr>
      <w:r>
        <w:rPr>
          <w:rFonts w:eastAsia="Courier New" w:cs="Courier New"/>
        </w:rPr>
        <w:t>донорстве крови и ее компонентов;».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Courier New" w:cs="Courier New"/>
        </w:rPr>
        <w:tab/>
      </w:r>
      <w:r>
        <w:rPr>
          <w:rFonts w:eastAsia="Arial" w:cs="Arial"/>
        </w:rPr>
        <w:t>1.7. В статье 41 Устава: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Arial" w:cs="Arial"/>
        </w:rPr>
        <w:tab/>
        <w:t>а) дополнить частью 3.1 следующего содержания: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Arial" w:cs="Arial"/>
        </w:rPr>
        <w:tab/>
        <w:t>«3.1. В собственности района может находиться иное имущество, необходимое для осуществления полномочий по решению вопросов местного значения муниципальных района.»;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Arial" w:cs="Arial"/>
        </w:rPr>
        <w:tab/>
        <w:t>б) часть 4 изложить в следующей редакции: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Arial" w:cs="Arial"/>
        </w:rPr>
        <w:tab/>
        <w:t xml:space="preserve">«4. В случаях возникновения у муниципального района права собственности на имущество, не соответствующее требованиям </w:t>
      </w:r>
      <w:r>
        <w:rPr>
          <w:rFonts w:eastAsia="Arial" w:cs="Arial"/>
          <w:color w:val="0000FF"/>
        </w:rPr>
        <w:t>частей 2</w:t>
      </w:r>
      <w:r>
        <w:rPr>
          <w:rFonts w:eastAsia="Arial" w:cs="Arial"/>
        </w:rPr>
        <w:t xml:space="preserve"> – </w:t>
      </w:r>
      <w:r>
        <w:rPr>
          <w:rFonts w:eastAsia="Arial" w:cs="Arial"/>
          <w:color w:val="0000FF"/>
        </w:rPr>
        <w:t>3.1</w:t>
      </w:r>
      <w:r>
        <w:rPr>
          <w:rFonts w:eastAsia="Arial" w:cs="Arial"/>
        </w:rPr>
        <w:t xml:space="preserve">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законом.».</w:t>
      </w:r>
    </w:p>
    <w:p w:rsidR="00C06AA8" w:rsidRDefault="00C06AA8">
      <w:pPr>
        <w:jc w:val="both"/>
        <w:rPr>
          <w:rFonts w:eastAsia="Courier New" w:cs="Courier New"/>
        </w:rPr>
      </w:pPr>
      <w:r>
        <w:rPr>
          <w:rFonts w:eastAsia="Courier New" w:cs="Courier New"/>
        </w:rPr>
        <w:tab/>
        <w:t>1.8. Дополнить статью 47 Устава частью 9 следующего содержания:</w:t>
      </w:r>
    </w:p>
    <w:p w:rsidR="00C06AA8" w:rsidRDefault="00C06AA8">
      <w:pPr>
        <w:jc w:val="both"/>
        <w:rPr>
          <w:rFonts w:eastAsia="Arial" w:cs="Arial"/>
        </w:rPr>
      </w:pPr>
      <w:r>
        <w:rPr>
          <w:rFonts w:eastAsia="Courier New" w:cs="Courier New"/>
        </w:rPr>
        <w:tab/>
        <w:t xml:space="preserve">«9. </w:t>
      </w:r>
      <w:r>
        <w:rPr>
          <w:rFonts w:eastAsia="Arial" w:cs="Arial"/>
        </w:rPr>
        <w:t>Администрация района осуществляет муниципальные заимствования в соответствии с Программой муниципальных заимствований на очередной финансовый год, а также предоставляет муниципальные гарантии в соответствии с Бюджетным кодексом Российской Федерации.».</w:t>
      </w:r>
    </w:p>
    <w:p w:rsidR="00C06AA8" w:rsidRDefault="00C06AA8">
      <w:pPr>
        <w:autoSpaceDE w:val="0"/>
        <w:ind w:firstLine="708"/>
        <w:jc w:val="both"/>
      </w:pPr>
      <w:r>
        <w:t>2. Зарегистрировать изменения в Устав муниципального образования Тужинский муниципальный район в порядке, установленном Федеральным законом от 21.07.2005 № 97-ФЗ "О государственной регистрации уставов муниципальных образований".</w:t>
      </w:r>
    </w:p>
    <w:p w:rsidR="00C06AA8" w:rsidRDefault="00C06AA8">
      <w:pPr>
        <w:numPr>
          <w:ilvl w:val="2"/>
          <w:numId w:val="2"/>
        </w:numPr>
        <w:autoSpaceDE w:val="0"/>
        <w:ind w:left="0" w:firstLine="540"/>
        <w:jc w:val="both"/>
      </w:pPr>
      <w:r>
        <w:t>Настоящее решение вступает в силу в соответствии с действующим законодательством.</w:t>
      </w:r>
    </w:p>
    <w:p w:rsidR="00C06AA8" w:rsidRDefault="00C06AA8">
      <w:pPr>
        <w:autoSpaceDE w:val="0"/>
        <w:ind w:firstLine="540"/>
        <w:jc w:val="both"/>
      </w:pPr>
    </w:p>
    <w:p w:rsidR="00C06AA8" w:rsidRDefault="00C06AA8">
      <w:pPr>
        <w:autoSpaceDE w:val="0"/>
        <w:ind w:firstLine="540"/>
        <w:jc w:val="both"/>
      </w:pPr>
    </w:p>
    <w:p w:rsidR="00C06AA8" w:rsidRDefault="00C06AA8">
      <w:pPr>
        <w:autoSpaceDE w:val="0"/>
        <w:ind w:firstLine="540"/>
        <w:jc w:val="both"/>
      </w:pPr>
    </w:p>
    <w:p w:rsidR="00C06AA8" w:rsidRDefault="005E4B24">
      <w:pPr>
        <w:autoSpaceDE w:val="0"/>
        <w:jc w:val="both"/>
      </w:pPr>
      <w:r>
        <w:t>Глава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6AA8">
        <w:t>Л.А.Трушкова</w:t>
      </w:r>
    </w:p>
    <w:p w:rsidR="00C06AA8" w:rsidRDefault="00C06AA8">
      <w:pPr>
        <w:autoSpaceDE w:val="0"/>
        <w:jc w:val="both"/>
        <w:rPr>
          <w:rFonts w:eastAsia="Courier New" w:cs="Courier New"/>
        </w:rPr>
      </w:pPr>
    </w:p>
    <w:p w:rsidR="00C06AA8" w:rsidRDefault="00C06AA8">
      <w:pPr>
        <w:ind w:firstLine="708"/>
        <w:jc w:val="both"/>
      </w:pPr>
    </w:p>
    <w:sectPr w:rsidR="00C06AA8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adjustLineHeightInTable/>
  </w:compat>
  <w:rsids>
    <w:rsidRoot w:val="00DB07D6"/>
    <w:rsid w:val="001E6863"/>
    <w:rsid w:val="003E24A7"/>
    <w:rsid w:val="004612B9"/>
    <w:rsid w:val="005E4B24"/>
    <w:rsid w:val="00C06AA8"/>
    <w:rsid w:val="00DB0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a3">
    <w:name w:val="Default Paragraph Font"/>
    <w:semiHidden/>
  </w:style>
  <w:style w:type="character" w:customStyle="1" w:styleId="WW-">
    <w:name w:val="WW-Основной шрифт абзаца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a4">
    <w:name w:val="Символ нумерации"/>
  </w:style>
  <w:style w:type="character" w:styleId="a5">
    <w:name w:val="Hyperlink"/>
    <w:semiHidden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</w:style>
  <w:style w:type="paragraph" w:styleId="a9">
    <w:name w:val="Title"/>
    <w:basedOn w:val="a"/>
    <w:next w:val="aa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semiHidden/>
    <w:pPr>
      <w:suppressLineNumbers/>
    </w:pPr>
  </w:style>
  <w:style w:type="paragraph" w:styleId="ac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index heading"/>
    <w:basedOn w:val="a"/>
    <w:semiHidden/>
    <w:pPr>
      <w:suppressLineNumbers/>
    </w:pPr>
  </w:style>
  <w:style w:type="paragraph" w:customStyle="1" w:styleId="BodyText2">
    <w:name w:val="Body Text 2"/>
    <w:basedOn w:val="a"/>
    <w:pPr>
      <w:overflowPunct w:val="0"/>
      <w:autoSpaceDE w:val="0"/>
      <w:jc w:val="both"/>
      <w:textAlignment w:val="baseline"/>
    </w:pPr>
  </w:style>
  <w:style w:type="paragraph" w:styleId="ae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10">
    <w:name w:val="ВК1"/>
    <w:basedOn w:val="a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ConsPlusDocList">
    <w:name w:val="  ConsPlusDocList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  ConsPlusCell"/>
    <w:next w:val="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  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  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f0">
    <w:name w:val="Содержимое врезки"/>
    <w:basedOn w:val="a7"/>
  </w:style>
  <w:style w:type="paragraph" w:customStyle="1" w:styleId="af1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3FE4588-0C38-4E9D-B47F-4EE13E0F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Радиоком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2</cp:revision>
  <cp:lastPrinted>2012-10-30T07:18:00Z</cp:lastPrinted>
  <dcterms:created xsi:type="dcterms:W3CDTF">2016-03-03T06:21:00Z</dcterms:created>
  <dcterms:modified xsi:type="dcterms:W3CDTF">2016-03-03T06:21:00Z</dcterms:modified>
</cp:coreProperties>
</file>